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AE9C0" w:themeColor="accent5" w:themeTint="66"/>
  <w:body>
    <w:p w:rsidR="00C4570B" w:rsidRPr="001A194D" w:rsidRDefault="006E0889" w:rsidP="00C4570B">
      <w:pPr>
        <w:spacing w:before="100" w:beforeAutospacing="1" w:after="100" w:afterAutospacing="1" w:line="792" w:lineRule="atLeast"/>
        <w:jc w:val="center"/>
        <w:textAlignment w:val="baseline"/>
        <w:outlineLvl w:val="0"/>
        <w:rPr>
          <w:rFonts w:ascii="Georgia" w:eastAsia="Times New Roman" w:hAnsi="Georgia" w:cs="Arial"/>
          <w:color w:val="0B5294" w:themeColor="accent1" w:themeShade="BF"/>
          <w:kern w:val="36"/>
          <w:sz w:val="56"/>
          <w:szCs w:val="56"/>
          <w:lang w:eastAsia="es-AR"/>
          <w14:glow w14:rad="228600">
            <w14:schemeClr w14:val="accent1">
              <w14:alpha w14:val="60000"/>
              <w14:satMod w14:val="175000"/>
            </w14:schemeClr>
          </w14:glow>
        </w:rPr>
      </w:pPr>
      <w:r w:rsidRPr="001A194D">
        <w:rPr>
          <w:rFonts w:ascii="Georgia" w:eastAsia="Times New Roman" w:hAnsi="Georgia" w:cs="Arial"/>
          <w:color w:val="0B5294" w:themeColor="accent1" w:themeShade="BF"/>
          <w:kern w:val="36"/>
          <w:sz w:val="56"/>
          <w:szCs w:val="56"/>
          <w:lang w:eastAsia="es-AR"/>
          <w14:glow w14:rad="228600">
            <w14:schemeClr w14:val="accent1">
              <w14:alpha w14:val="60000"/>
              <w14:satMod w14:val="175000"/>
            </w14:schemeClr>
          </w14:glow>
        </w:rPr>
        <w:t>Vicio del siglo XXI</w:t>
      </w:r>
    </w:p>
    <w:p w:rsidR="006E0889" w:rsidRDefault="006E0889" w:rsidP="001A194D">
      <w:pPr>
        <w:spacing w:before="100" w:beforeAutospacing="1" w:after="100" w:afterAutospacing="1" w:line="792" w:lineRule="atLeast"/>
        <w:jc w:val="center"/>
        <w:textAlignment w:val="baseline"/>
        <w:outlineLvl w:val="0"/>
        <w:rPr>
          <w:rFonts w:ascii="Georgia" w:eastAsia="Times New Roman" w:hAnsi="Georgia" w:cs="Arial"/>
          <w:color w:val="0B5294" w:themeColor="accent1" w:themeShade="BF"/>
          <w:kern w:val="36"/>
          <w:sz w:val="40"/>
          <w:szCs w:val="40"/>
          <w:lang w:eastAsia="es-AR"/>
          <w14:glow w14:rad="228600">
            <w14:schemeClr w14:val="accent1">
              <w14:alpha w14:val="60000"/>
              <w14:satMod w14:val="175000"/>
            </w14:schemeClr>
          </w14:glow>
        </w:rPr>
      </w:pPr>
      <w:r w:rsidRPr="001A194D">
        <w:rPr>
          <w:rFonts w:ascii="Georgia" w:eastAsia="Times New Roman" w:hAnsi="Georgia" w:cs="Arial"/>
          <w:color w:val="0B5294" w:themeColor="accent1" w:themeShade="BF"/>
          <w:kern w:val="36"/>
          <w:sz w:val="40"/>
          <w:szCs w:val="40"/>
          <w:lang w:eastAsia="es-AR"/>
          <w14:glow w14:rad="228600">
            <w14:schemeClr w14:val="accent1">
              <w14:alpha w14:val="60000"/>
              <w14:satMod w14:val="175000"/>
            </w14:schemeClr>
          </w14:glow>
        </w:rPr>
        <w:t>Cómo viven los adictos a los juegos online</w:t>
      </w:r>
    </w:p>
    <w:p w:rsidR="006D4587" w:rsidRPr="001A194D" w:rsidRDefault="006D4587" w:rsidP="001A194D">
      <w:pPr>
        <w:spacing w:before="100" w:beforeAutospacing="1" w:after="100" w:afterAutospacing="1" w:line="792" w:lineRule="atLeast"/>
        <w:jc w:val="center"/>
        <w:textAlignment w:val="baseline"/>
        <w:outlineLvl w:val="0"/>
        <w:rPr>
          <w:rFonts w:ascii="Georgia" w:eastAsia="Times New Roman" w:hAnsi="Georgia" w:cs="Arial"/>
          <w:color w:val="0B5294" w:themeColor="accent1" w:themeShade="BF"/>
          <w:kern w:val="36"/>
          <w:sz w:val="40"/>
          <w:szCs w:val="40"/>
          <w:lang w:eastAsia="es-AR"/>
          <w14:glow w14:rad="228600">
            <w14:schemeClr w14:val="accent1">
              <w14:alpha w14:val="60000"/>
              <w14:satMod w14:val="175000"/>
            </w14:schemeClr>
          </w14:glow>
        </w:rPr>
      </w:pPr>
    </w:p>
    <w:p w:rsidR="006E0889" w:rsidRPr="001A194D" w:rsidRDefault="006E0889" w:rsidP="002058C6">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sidRPr="001A194D">
        <w:rPr>
          <w:rFonts w:eastAsia="Times New Roman" w:cstheme="minorHAnsi"/>
          <w:b/>
          <w:bCs/>
          <w:color w:val="0B5294" w:themeColor="accent1" w:themeShade="BF"/>
          <w:sz w:val="28"/>
          <w:szCs w:val="28"/>
          <w:lang w:eastAsia="es-AR"/>
        </w:rPr>
        <w:t>Se aíslan en el mundo virtual y descuidan su salud</w:t>
      </w:r>
    </w:p>
    <w:p w:rsidR="00B8324F" w:rsidRPr="001A194D" w:rsidRDefault="00B8324F"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Un lugar que, en exceso, puede convertirse lentamente en un escape de los problemas cotidianos donde el jugador pasa a ser otra persona y donde lo recreativo queda en un segundo plano, para dar lugar a la adicción.</w:t>
      </w:r>
    </w:p>
    <w:p w:rsidR="006E0889" w:rsidRDefault="006E0889" w:rsidP="0012041E">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Pasan horas frente a la pantalla como si el tiempo no existiera. El mundo real desaparece y empiezan a formar parte de otro virtual. Uno que, al principio, tiene la impronta del "entretenimiento": es cómodo, de fácil acceso y abre las 24 horas del día, los siete días de la semana.</w:t>
      </w:r>
    </w:p>
    <w:p w:rsidR="006D4587" w:rsidRPr="001A194D" w:rsidRDefault="006D4587" w:rsidP="0012041E">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p>
    <w:p w:rsidR="0012041E"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"La mayoría de los pacientes que acuden por problemas vinculados a las nuevas tecnologías lo hacen por la adicción a los juegos online. En general, los chicos son los que juegan más en red; los mayores de 30 años se inclinan por las apuestas, y las mujeres acuden más en busca de juegos como el Candy Crash"</w:t>
      </w:r>
    </w:p>
    <w:p w:rsidR="006D4587" w:rsidRDefault="0012041E" w:rsidP="006E0889">
      <w:pPr>
        <w:pStyle w:val="com-paragrap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E</w:t>
      </w:r>
      <w:r w:rsidR="006E0889" w:rsidRPr="001A194D">
        <w:rPr>
          <w:rFonts w:asciiTheme="minorHAnsi" w:hAnsiTheme="minorHAnsi" w:cstheme="minorHAnsi"/>
          <w:color w:val="0B5294" w:themeColor="accent1" w:themeShade="BF"/>
        </w:rPr>
        <w:t xml:space="preserve">xplica Laura Jurkowski, psicóloga especialista en adicciones a Internet y fundadora de </w:t>
      </w:r>
      <w:proofErr w:type="spellStart"/>
      <w:r w:rsidR="006E0889" w:rsidRPr="001A194D">
        <w:rPr>
          <w:rFonts w:asciiTheme="minorHAnsi" w:hAnsiTheme="minorHAnsi" w:cstheme="minorHAnsi"/>
          <w:color w:val="0B5294" w:themeColor="accent1" w:themeShade="BF"/>
        </w:rPr>
        <w:t>reConectarse</w:t>
      </w:r>
      <w:proofErr w:type="spellEnd"/>
      <w:r w:rsidR="006E0889" w:rsidRPr="001A194D">
        <w:rPr>
          <w:rFonts w:asciiTheme="minorHAnsi" w:hAnsiTheme="minorHAnsi" w:cstheme="minorHAnsi"/>
          <w:color w:val="0B5294" w:themeColor="accent1" w:themeShade="BF"/>
        </w:rPr>
        <w:t>.</w:t>
      </w:r>
    </w:p>
    <w:p w:rsidR="006D4587" w:rsidRDefault="006D4587">
      <w:pPr>
        <w:rPr>
          <w:rFonts w:eastAsia="Times New Roman" w:cstheme="minorHAnsi"/>
          <w:color w:val="0B5294" w:themeColor="accent1" w:themeShade="BF"/>
          <w:sz w:val="24"/>
          <w:szCs w:val="24"/>
          <w:lang w:eastAsia="es-AR"/>
        </w:rPr>
      </w:pPr>
      <w:r>
        <w:rPr>
          <w:rFonts w:cstheme="minorHAnsi"/>
          <w:color w:val="0B5294" w:themeColor="accent1" w:themeShade="BF"/>
        </w:rPr>
        <w:lastRenderedPageBreak/>
        <w:br w:type="page"/>
      </w:r>
    </w:p>
    <w:p w:rsidR="0012041E" w:rsidRPr="001A194D" w:rsidRDefault="0012041E" w:rsidP="006E0889">
      <w:pPr>
        <w:pStyle w:val="com-paragraph"/>
        <w:textAlignment w:val="baseline"/>
        <w:rPr>
          <w:rFonts w:asciiTheme="minorHAnsi" w:hAnsiTheme="minorHAnsi" w:cstheme="minorHAnsi"/>
          <w:color w:val="0B5294" w:themeColor="accent1" w:themeShade="BF"/>
        </w:rPr>
      </w:pPr>
    </w:p>
    <w:p w:rsidR="006E0889"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Y agrega: "Es una problemática que ha aumentado muchísimo en los últimos años, lo que está relacionado con el acceso a Internet, que también crece, y en consecuencia es más fácil tener acceso a esa clase de juegos".</w:t>
      </w:r>
    </w:p>
    <w:p w:rsidR="00845F30"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En este sentido, el estudio "Digital, social and mobile in 2015", de We are social, señala que en la Argentina existen 32,3 millones de usuarios activos de Internet, que pasan casi cinco horas al día en la Web a través de la computadora o de una tablet.</w:t>
      </w:r>
    </w:p>
    <w:p w:rsidR="006E0889" w:rsidRPr="001A194D" w:rsidRDefault="006E0889" w:rsidP="001A194D">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sidRPr="001A194D">
        <w:rPr>
          <w:rFonts w:eastAsia="Times New Roman" w:cstheme="minorHAnsi"/>
          <w:b/>
          <w:bCs/>
          <w:color w:val="0B5294" w:themeColor="accent1" w:themeShade="BF"/>
          <w:sz w:val="28"/>
          <w:szCs w:val="28"/>
          <w:lang w:eastAsia="es-AR"/>
        </w:rPr>
        <w:t>Juego versus adicción</w:t>
      </w:r>
    </w:p>
    <w:p w:rsidR="006E0889"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¿Cuándo un juego deja de ser juego y se convierte en adicción? Débora Blanca, psicóloga y directora del centro de investigación y tratamiento de la adicción al juego Entrelazar, sostiene que se produce cuando el juego pierde en sí el sentido de lo lúdico. "Cuando la persona ya no puede controlar cuándo va a jugar, cuando no sabe cuánta plata destina a esa actividad, cuando llega a mentir, a robar. Es decir, cuando el juego deja de ser algo divertido en sí."</w:t>
      </w:r>
    </w:p>
    <w:p w:rsidR="006E0889"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"Lo lúdico, lo creativo es sumamente saludable –aclara Jurkowski–. El problema es cuando esto es excesivo, cuando una persona, ante un problema, en vez de enfrentar la situación y resolverla, usa al juego como un lugar de escape, como una manera de distraerse compulsivamente."</w:t>
      </w:r>
    </w:p>
    <w:p w:rsidR="006D4587"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En este sentido, Blanca asegura que la adicción es más difícil de detectar en las personas que juegan en línea. </w:t>
      </w:r>
    </w:p>
    <w:p w:rsidR="006D4587" w:rsidRDefault="006D4587">
      <w:pPr>
        <w:rPr>
          <w:rFonts w:eastAsia="Times New Roman" w:cstheme="minorHAnsi"/>
          <w:color w:val="0B5294" w:themeColor="accent1" w:themeShade="BF"/>
          <w:sz w:val="24"/>
          <w:szCs w:val="24"/>
          <w:lang w:eastAsia="es-AR"/>
        </w:rPr>
      </w:pPr>
      <w:r>
        <w:rPr>
          <w:rFonts w:cstheme="minorHAnsi"/>
          <w:color w:val="0B5294" w:themeColor="accent1" w:themeShade="BF"/>
        </w:rPr>
        <w:br w:type="page"/>
      </w:r>
    </w:p>
    <w:p w:rsidR="001A194D" w:rsidRDefault="001A194D"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p>
    <w:p w:rsidR="001A194D"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"El jugador típico que va al casino o al bingo tiene una conducta más evidente: tiene que pensar alguna excusa –incluso mentir– para ir a jugar</w:t>
      </w:r>
      <w:r w:rsidR="001A194D" w:rsidRPr="001A194D">
        <w:rPr>
          <w:rFonts w:asciiTheme="minorHAnsi" w:hAnsiTheme="minorHAnsi" w:cstheme="minorHAnsi"/>
          <w:b/>
          <w:i/>
          <w:color w:val="0B5294" w:themeColor="accent1" w:themeShade="BF"/>
          <w:sz w:val="28"/>
          <w:szCs w:val="28"/>
        </w:rPr>
        <w:t>”</w:t>
      </w:r>
      <w:r w:rsidRPr="001A194D">
        <w:rPr>
          <w:rFonts w:asciiTheme="minorHAnsi" w:hAnsiTheme="minorHAnsi" w:cstheme="minorHAnsi"/>
          <w:b/>
          <w:i/>
          <w:color w:val="0B5294" w:themeColor="accent1" w:themeShade="BF"/>
          <w:sz w:val="28"/>
          <w:szCs w:val="28"/>
        </w:rPr>
        <w:t xml:space="preserve">. </w:t>
      </w:r>
    </w:p>
    <w:p w:rsidR="006E0889" w:rsidRPr="00A5320F" w:rsidRDefault="006E0889" w:rsidP="00A5320F">
      <w:pPr>
        <w:pStyle w:val="com-paragraph"/>
        <w:spacing w:before="0" w:beforeAutospacing="0" w:after="0" w:afterAutospacing="0" w:line="360" w:lineRule="auto"/>
        <w:ind w:left="709" w:hanging="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color w:val="0B5294" w:themeColor="accent1" w:themeShade="BF"/>
        </w:rPr>
        <w:t xml:space="preserve">Se puede ver el </w:t>
      </w:r>
      <w:r w:rsidR="00A5320F">
        <w:rPr>
          <w:rFonts w:asciiTheme="minorHAnsi" w:hAnsiTheme="minorHAnsi" w:cstheme="minorHAnsi"/>
          <w:color w:val="0B5294" w:themeColor="accent1" w:themeShade="BF"/>
        </w:rPr>
        <w:t>movimiento. Acá no es necesario</w:t>
      </w:r>
      <w:r w:rsidRPr="001A194D">
        <w:rPr>
          <w:rFonts w:asciiTheme="minorHAnsi" w:hAnsiTheme="minorHAnsi" w:cstheme="minorHAnsi"/>
          <w:color w:val="0B5294" w:themeColor="accent1" w:themeShade="BF"/>
        </w:rPr>
        <w:t xml:space="preserve">, apunta la especialista de Entrelazar. Agrega: </w:t>
      </w:r>
      <w:r w:rsidRPr="00A5320F">
        <w:rPr>
          <w:rFonts w:asciiTheme="minorHAnsi" w:hAnsiTheme="minorHAnsi" w:cstheme="minorHAnsi"/>
          <w:b/>
          <w:i/>
          <w:color w:val="0B5294" w:themeColor="accent1" w:themeShade="BF"/>
          <w:sz w:val="28"/>
          <w:szCs w:val="28"/>
        </w:rPr>
        <w:t>"Detectar que la persona tiene un problema con el juego lleva mucho tiempo; puede tardar entre 8 y 10 años hasta que decida hablar con su familia y admita que tiene un problema".</w:t>
      </w:r>
    </w:p>
    <w:p w:rsidR="003D4E5C"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En relación con el juego donde se apuesta, Blanca asegura que es mucho más peligroso porque ni siquiera hay un contacto físico con el dinero. "Para alguien que no tiene noción de lo que pasa, cuanto más virtual es el juego –es decir no hay billetes–, las pérdidas son mayores", aclara.</w:t>
      </w:r>
    </w:p>
    <w:p w:rsidR="001A194D" w:rsidRDefault="001A194D">
      <w:pPr>
        <w:rPr>
          <w:rFonts w:ascii="Georgia" w:hAnsi="Georgia"/>
          <w:color w:val="0B5294" w:themeColor="accent1" w:themeShade="BF"/>
          <w:sz w:val="29"/>
          <w:szCs w:val="29"/>
        </w:rPr>
      </w:pPr>
    </w:p>
    <w:p w:rsidR="006E0889" w:rsidRPr="001A194D" w:rsidRDefault="0008676D" w:rsidP="001A194D">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Pr>
          <w:rFonts w:cstheme="minorHAnsi"/>
          <w:noProof/>
          <w:color w:val="0F6FC6" w:themeColor="accent1"/>
        </w:rPr>
        <w:lastRenderedPageBreak/>
        <w:drawing>
          <wp:anchor distT="0" distB="0" distL="114300" distR="114300" simplePos="0" relativeHeight="251659264" behindDoc="0" locked="0" layoutInCell="1" allowOverlap="1">
            <wp:simplePos x="0" y="0"/>
            <wp:positionH relativeFrom="page">
              <wp:posOffset>2867025</wp:posOffset>
            </wp:positionH>
            <wp:positionV relativeFrom="paragraph">
              <wp:posOffset>976630</wp:posOffset>
            </wp:positionV>
            <wp:extent cx="5306060" cy="2057400"/>
            <wp:effectExtent l="323850" t="438150" r="408940" b="43815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uego.PNG"/>
                    <pic:cNvPicPr/>
                  </pic:nvPicPr>
                  <pic:blipFill>
                    <a:blip r:embed="rId6">
                      <a:extLst>
                        <a:ext uri="{28A0092B-C50C-407E-A947-70E740481C1C}">
                          <a14:useLocalDpi xmlns:a14="http://schemas.microsoft.com/office/drawing/2010/main" val="0"/>
                        </a:ext>
                      </a:extLst>
                    </a:blip>
                    <a:stretch>
                      <a:fillRect/>
                    </a:stretch>
                  </pic:blipFill>
                  <pic:spPr>
                    <a:xfrm>
                      <a:off x="0" y="0"/>
                      <a:ext cx="5306060" cy="2057400"/>
                    </a:xfrm>
                    <a:prstGeom prst="rect">
                      <a:avLst/>
                    </a:prstGeom>
                    <a:solidFill>
                      <a:srgbClr val="FFFFFF">
                        <a:shade val="85000"/>
                      </a:srgbClr>
                    </a:solidFill>
                    <a:ln w="190500" cap="sq">
                      <a:solidFill>
                        <a:schemeClr val="accent2">
                          <a:lumMod val="40000"/>
                          <a:lumOff val="60000"/>
                        </a:schemeClr>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r w:rsidR="006E0889" w:rsidRPr="001A194D">
        <w:rPr>
          <w:rFonts w:eastAsia="Times New Roman" w:cstheme="minorHAnsi"/>
          <w:b/>
          <w:bCs/>
          <w:color w:val="0B5294" w:themeColor="accent1" w:themeShade="BF"/>
          <w:sz w:val="28"/>
          <w:szCs w:val="28"/>
          <w:lang w:eastAsia="es-AR"/>
        </w:rPr>
        <w:t>Falta de una regulación clara y precisa</w:t>
      </w:r>
      <w:bookmarkStart w:id="0" w:name="_GoBack"/>
      <w:bookmarkEnd w:id="0"/>
    </w:p>
    <w:p w:rsidR="006E0889" w:rsidRPr="001A194D"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"Al estar provincializado el juego, Lotería Nacional delega a cada provincia y cada una hace lo que quiere, tanto con el juego presencial como con el online", afirma Ramón Indart, periodista que escribió, junto a Federico Poore, El poder del juego (Editorial Aguilar).</w:t>
      </w:r>
    </w:p>
    <w:p w:rsidR="00FB0CF8" w:rsidRPr="001A194D" w:rsidRDefault="00FB0CF8" w:rsidP="00FB0CF8">
      <w:pPr>
        <w:pStyle w:val="com-paragraph"/>
        <w:keepNext/>
        <w:framePr w:dropCap="drop" w:lines="3" w:wrap="around" w:vAnchor="text" w:hAnchor="text"/>
        <w:spacing w:before="0" w:beforeAutospacing="0" w:after="0" w:afterAutospacing="0" w:line="1318" w:lineRule="exact"/>
        <w:jc w:val="both"/>
        <w:textAlignment w:val="baseline"/>
        <w:rPr>
          <w:rFonts w:asciiTheme="minorHAnsi" w:hAnsiTheme="minorHAnsi" w:cstheme="minorHAnsi"/>
          <w:color w:val="0B5294" w:themeColor="accent1" w:themeShade="BF"/>
          <w:position w:val="-4"/>
          <w:sz w:val="162"/>
        </w:rPr>
      </w:pPr>
      <w:r w:rsidRPr="001A194D">
        <w:rPr>
          <w:rFonts w:asciiTheme="minorHAnsi" w:hAnsiTheme="minorHAnsi" w:cstheme="minorHAnsi"/>
          <w:color w:val="0B5294" w:themeColor="accent1" w:themeShade="BF"/>
          <w:position w:val="-4"/>
          <w:sz w:val="162"/>
        </w:rPr>
        <w:t>S</w:t>
      </w:r>
    </w:p>
    <w:p w:rsidR="002058C6" w:rsidRPr="001A194D"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on varias las empresas internacionales de juego de azar online que quieren arribar al país y necesitan que se promueva una reglamentación. "Quieren pedirle al Congreso que reglamente, de alguna manera, el juego online, y demostrar que se puede hacer con reglas claras como ya h</w:t>
      </w:r>
      <w:r w:rsidR="002058C6" w:rsidRPr="001A194D">
        <w:rPr>
          <w:rFonts w:asciiTheme="minorHAnsi" w:hAnsiTheme="minorHAnsi" w:cstheme="minorHAnsi"/>
          <w:color w:val="0B5294" w:themeColor="accent1" w:themeShade="BF"/>
        </w:rPr>
        <w:t>ay en Europa.</w:t>
      </w:r>
    </w:p>
    <w:p w:rsidR="001A194D" w:rsidRDefault="002058C6"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¿El problema radica en ver para quién son esas?  </w:t>
      </w:r>
      <w:r w:rsidR="006E0889" w:rsidRPr="001A194D">
        <w:rPr>
          <w:rFonts w:asciiTheme="minorHAnsi" w:hAnsiTheme="minorHAnsi" w:cstheme="minorHAnsi"/>
          <w:color w:val="0B5294" w:themeColor="accent1" w:themeShade="BF"/>
        </w:rPr>
        <w:t>reglas claras', si para el negocio en sí o para el jugador.</w:t>
      </w:r>
    </w:p>
    <w:p w:rsidR="006E0889" w:rsidRPr="001A194D" w:rsidRDefault="006E0889"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¿Cómo </w:t>
      </w:r>
      <w:r w:rsidR="001A194D">
        <w:rPr>
          <w:rFonts w:asciiTheme="minorHAnsi" w:hAnsiTheme="minorHAnsi" w:cstheme="minorHAnsi"/>
          <w:color w:val="0B5294" w:themeColor="accent1" w:themeShade="BF"/>
        </w:rPr>
        <w:t>hacer</w:t>
      </w:r>
      <w:r w:rsidRPr="001A194D">
        <w:rPr>
          <w:rFonts w:asciiTheme="minorHAnsi" w:hAnsiTheme="minorHAnsi" w:cstheme="minorHAnsi"/>
          <w:color w:val="0B5294" w:themeColor="accent1" w:themeShade="BF"/>
        </w:rPr>
        <w:t xml:space="preserve"> para que un chico de 15 años no acceda a la tarjeta de crédito del padre y juegue ahí indiscriminadamente? </w:t>
      </w:r>
      <w:r w:rsidR="001A194D">
        <w:rPr>
          <w:rFonts w:asciiTheme="minorHAnsi" w:hAnsiTheme="minorHAnsi" w:cstheme="minorHAnsi"/>
          <w:color w:val="0B5294" w:themeColor="accent1" w:themeShade="BF"/>
        </w:rPr>
        <w:t>“No hay un control todavía”</w:t>
      </w:r>
      <w:r w:rsidRPr="001A194D">
        <w:rPr>
          <w:rFonts w:asciiTheme="minorHAnsi" w:hAnsiTheme="minorHAnsi" w:cstheme="minorHAnsi"/>
          <w:color w:val="0B5294" w:themeColor="accent1" w:themeShade="BF"/>
        </w:rPr>
        <w:t>, asevera Indart.</w:t>
      </w:r>
    </w:p>
    <w:sectPr w:rsidR="006E0889" w:rsidRPr="001A194D" w:rsidSect="006D4587">
      <w:pgSz w:w="18711" w:h="12247" w:orient="landscape" w:code="1"/>
      <w:pgMar w:top="1588" w:right="3119" w:bottom="1588" w:left="1418" w:header="709" w:footer="709" w:gutter="0"/>
      <w:pgBorders w:offsetFrom="page">
        <w:top w:val="weavingStrips" w:sz="20" w:space="24" w:color="0B5294" w:themeColor="accent1" w:themeShade="BF"/>
        <w:left w:val="weavingStrips" w:sz="20" w:space="24" w:color="0B5294" w:themeColor="accent1" w:themeShade="BF"/>
        <w:bottom w:val="weavingStrips" w:sz="20" w:space="24" w:color="0B5294" w:themeColor="accent1" w:themeShade="BF"/>
        <w:right w:val="weavingStrips" w:sz="20" w:space="24" w:color="0B5294" w:themeColor="accent1"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E5C49"/>
    <w:multiLevelType w:val="multilevel"/>
    <w:tmpl w:val="421C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889"/>
    <w:rsid w:val="00047FCF"/>
    <w:rsid w:val="00067FBA"/>
    <w:rsid w:val="0008676D"/>
    <w:rsid w:val="000D2395"/>
    <w:rsid w:val="000D76DD"/>
    <w:rsid w:val="00114BF8"/>
    <w:rsid w:val="0012041E"/>
    <w:rsid w:val="00144119"/>
    <w:rsid w:val="001A194D"/>
    <w:rsid w:val="002058C6"/>
    <w:rsid w:val="0028350C"/>
    <w:rsid w:val="003D3F72"/>
    <w:rsid w:val="003D4E5C"/>
    <w:rsid w:val="00477746"/>
    <w:rsid w:val="00587C1E"/>
    <w:rsid w:val="006D4587"/>
    <w:rsid w:val="006E0889"/>
    <w:rsid w:val="007308D5"/>
    <w:rsid w:val="007714D4"/>
    <w:rsid w:val="00845F30"/>
    <w:rsid w:val="00976921"/>
    <w:rsid w:val="00A5320F"/>
    <w:rsid w:val="00A61437"/>
    <w:rsid w:val="00B8324F"/>
    <w:rsid w:val="00C4570B"/>
    <w:rsid w:val="00DE0CF3"/>
    <w:rsid w:val="00EB11AD"/>
    <w:rsid w:val="00F240B4"/>
    <w:rsid w:val="00F94E45"/>
    <w:rsid w:val="00FB0CF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0BC53"/>
  <w15:chartTrackingRefBased/>
  <w15:docId w15:val="{215EF55E-A9C6-40DD-AE4C-EEF4497D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6E08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link w:val="Ttulo2Car"/>
    <w:uiPriority w:val="9"/>
    <w:qFormat/>
    <w:rsid w:val="006E0889"/>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0889"/>
    <w:rPr>
      <w:rFonts w:ascii="Times New Roman" w:eastAsia="Times New Roman" w:hAnsi="Times New Roman" w:cs="Times New Roman"/>
      <w:b/>
      <w:bCs/>
      <w:kern w:val="36"/>
      <w:sz w:val="48"/>
      <w:szCs w:val="48"/>
      <w:lang w:eastAsia="es-AR"/>
    </w:rPr>
  </w:style>
  <w:style w:type="character" w:customStyle="1" w:styleId="Ttulo2Car">
    <w:name w:val="Título 2 Car"/>
    <w:basedOn w:val="Fuentedeprrafopredeter"/>
    <w:link w:val="Ttulo2"/>
    <w:uiPriority w:val="9"/>
    <w:rsid w:val="006E0889"/>
    <w:rPr>
      <w:rFonts w:ascii="Times New Roman" w:eastAsia="Times New Roman" w:hAnsi="Times New Roman" w:cs="Times New Roman"/>
      <w:b/>
      <w:bCs/>
      <w:sz w:val="36"/>
      <w:szCs w:val="36"/>
      <w:lang w:eastAsia="es-AR"/>
    </w:rPr>
  </w:style>
  <w:style w:type="paragraph" w:customStyle="1" w:styleId="com-paragraph">
    <w:name w:val="com-paragraph"/>
    <w:basedOn w:val="Normal"/>
    <w:rsid w:val="006E0889"/>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6E08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44166">
      <w:bodyDiv w:val="1"/>
      <w:marLeft w:val="0"/>
      <w:marRight w:val="0"/>
      <w:marTop w:val="0"/>
      <w:marBottom w:val="0"/>
      <w:divBdr>
        <w:top w:val="none" w:sz="0" w:space="0" w:color="auto"/>
        <w:left w:val="none" w:sz="0" w:space="0" w:color="auto"/>
        <w:bottom w:val="none" w:sz="0" w:space="0" w:color="auto"/>
        <w:right w:val="none" w:sz="0" w:space="0" w:color="auto"/>
      </w:divBdr>
      <w:divsChild>
        <w:div w:id="321277221">
          <w:marLeft w:val="0"/>
          <w:marRight w:val="0"/>
          <w:marTop w:val="0"/>
          <w:marBottom w:val="0"/>
          <w:divBdr>
            <w:top w:val="none" w:sz="0" w:space="0" w:color="auto"/>
            <w:left w:val="none" w:sz="0" w:space="0" w:color="auto"/>
            <w:bottom w:val="none" w:sz="0" w:space="0" w:color="auto"/>
            <w:right w:val="none" w:sz="0" w:space="0" w:color="auto"/>
          </w:divBdr>
          <w:divsChild>
            <w:div w:id="1547184875">
              <w:marLeft w:val="0"/>
              <w:marRight w:val="0"/>
              <w:marTop w:val="0"/>
              <w:marBottom w:val="0"/>
              <w:divBdr>
                <w:top w:val="none" w:sz="0" w:space="0" w:color="auto"/>
                <w:left w:val="none" w:sz="0" w:space="0" w:color="auto"/>
                <w:bottom w:val="none" w:sz="0" w:space="0" w:color="auto"/>
                <w:right w:val="none" w:sz="0" w:space="0" w:color="auto"/>
              </w:divBdr>
              <w:divsChild>
                <w:div w:id="9110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471687">
          <w:marLeft w:val="0"/>
          <w:marRight w:val="0"/>
          <w:marTop w:val="0"/>
          <w:marBottom w:val="0"/>
          <w:divBdr>
            <w:top w:val="none" w:sz="0" w:space="0" w:color="auto"/>
            <w:left w:val="none" w:sz="0" w:space="0" w:color="auto"/>
            <w:bottom w:val="none" w:sz="0" w:space="0" w:color="auto"/>
            <w:right w:val="none" w:sz="0" w:space="0" w:color="auto"/>
          </w:divBdr>
          <w:divsChild>
            <w:div w:id="866024271">
              <w:marLeft w:val="0"/>
              <w:marRight w:val="0"/>
              <w:marTop w:val="0"/>
              <w:marBottom w:val="0"/>
              <w:divBdr>
                <w:top w:val="none" w:sz="0" w:space="0" w:color="auto"/>
                <w:left w:val="none" w:sz="0" w:space="0" w:color="auto"/>
                <w:bottom w:val="none" w:sz="0" w:space="0" w:color="auto"/>
                <w:right w:val="none" w:sz="0" w:space="0" w:color="auto"/>
              </w:divBdr>
              <w:divsChild>
                <w:div w:id="2045715980">
                  <w:marLeft w:val="0"/>
                  <w:marRight w:val="0"/>
                  <w:marTop w:val="0"/>
                  <w:marBottom w:val="0"/>
                  <w:divBdr>
                    <w:top w:val="none" w:sz="0" w:space="0" w:color="auto"/>
                    <w:left w:val="none" w:sz="0" w:space="0" w:color="auto"/>
                    <w:bottom w:val="none" w:sz="0" w:space="0" w:color="auto"/>
                    <w:right w:val="none" w:sz="0" w:space="0" w:color="auto"/>
                  </w:divBdr>
                  <w:divsChild>
                    <w:div w:id="78546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289591">
      <w:bodyDiv w:val="1"/>
      <w:marLeft w:val="0"/>
      <w:marRight w:val="0"/>
      <w:marTop w:val="0"/>
      <w:marBottom w:val="0"/>
      <w:divBdr>
        <w:top w:val="none" w:sz="0" w:space="0" w:color="auto"/>
        <w:left w:val="none" w:sz="0" w:space="0" w:color="auto"/>
        <w:bottom w:val="none" w:sz="0" w:space="0" w:color="auto"/>
        <w:right w:val="none" w:sz="0" w:space="0" w:color="auto"/>
      </w:divBdr>
    </w:div>
    <w:div w:id="827134411">
      <w:bodyDiv w:val="1"/>
      <w:marLeft w:val="0"/>
      <w:marRight w:val="0"/>
      <w:marTop w:val="0"/>
      <w:marBottom w:val="0"/>
      <w:divBdr>
        <w:top w:val="none" w:sz="0" w:space="0" w:color="auto"/>
        <w:left w:val="none" w:sz="0" w:space="0" w:color="auto"/>
        <w:bottom w:val="none" w:sz="0" w:space="0" w:color="auto"/>
        <w:right w:val="none" w:sz="0" w:space="0" w:color="auto"/>
      </w:divBdr>
    </w:div>
    <w:div w:id="1238129327">
      <w:bodyDiv w:val="1"/>
      <w:marLeft w:val="0"/>
      <w:marRight w:val="0"/>
      <w:marTop w:val="0"/>
      <w:marBottom w:val="0"/>
      <w:divBdr>
        <w:top w:val="none" w:sz="0" w:space="0" w:color="auto"/>
        <w:left w:val="none" w:sz="0" w:space="0" w:color="auto"/>
        <w:bottom w:val="none" w:sz="0" w:space="0" w:color="auto"/>
        <w:right w:val="none" w:sz="0" w:space="0" w:color="auto"/>
      </w:divBdr>
    </w:div>
    <w:div w:id="1666711739">
      <w:bodyDiv w:val="1"/>
      <w:marLeft w:val="0"/>
      <w:marRight w:val="0"/>
      <w:marTop w:val="0"/>
      <w:marBottom w:val="0"/>
      <w:divBdr>
        <w:top w:val="none" w:sz="0" w:space="0" w:color="auto"/>
        <w:left w:val="none" w:sz="0" w:space="0" w:color="auto"/>
        <w:bottom w:val="none" w:sz="0" w:space="0" w:color="auto"/>
        <w:right w:val="none" w:sz="0" w:space="0" w:color="auto"/>
      </w:divBdr>
    </w:div>
    <w:div w:id="17181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Personalizado 7">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F0000"/>
      </a:hlink>
      <a:folHlink>
        <a:srgbClr val="54A83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4A620-A2CB-42C6-B5BE-618549CF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608</Words>
  <Characters>3350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Barcelo</dc:creator>
  <cp:keywords/>
  <dc:description/>
  <cp:lastModifiedBy>Marta Barcelo</cp:lastModifiedBy>
  <cp:revision>5</cp:revision>
  <dcterms:created xsi:type="dcterms:W3CDTF">2025-03-04T12:34:00Z</dcterms:created>
  <dcterms:modified xsi:type="dcterms:W3CDTF">2025-03-04T12:47:00Z</dcterms:modified>
</cp:coreProperties>
</file>